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74C" w:rsidRDefault="00456C26" w:rsidP="005704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  <w:shd w:val="clear" w:color="auto" w:fill="F4F5F8"/>
        </w:rPr>
        <w:drawing>
          <wp:inline distT="0" distB="0" distL="0" distR="0">
            <wp:extent cx="2162908" cy="1089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ey-paper-cash-bank-currency-crisis-dollar-russian-coins-ruble-banknote-bills-tutus-money-handling-55372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561" cy="11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484" w:rsidRDefault="00570484" w:rsidP="005704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</w:pPr>
      <w:r w:rsidRPr="00570484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  <w:t xml:space="preserve">ПРОГРАММА ДОЛГОСРОЧНЫХ СБЕРЕЖЕНИЙ ГРАЖДАН: </w:t>
      </w:r>
    </w:p>
    <w:p w:rsidR="00570484" w:rsidRPr="00570484" w:rsidRDefault="00570484" w:rsidP="00570484">
      <w:pPr>
        <w:spacing w:after="0" w:line="240" w:lineRule="auto"/>
        <w:jc w:val="center"/>
        <w:rPr>
          <w:rFonts w:ascii="Times New Roman" w:hAnsi="Times New Roman" w:cs="Times New Roman"/>
          <w:color w:val="162136"/>
          <w:shd w:val="clear" w:color="auto" w:fill="F4F5F8"/>
        </w:rPr>
      </w:pPr>
      <w:r w:rsidRPr="00570484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  <w:t xml:space="preserve">КАК ОНА </w:t>
      </w:r>
      <w:proofErr w:type="gramStart"/>
      <w:r w:rsidRPr="00570484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  <w:t>УСТРОЕНА И</w:t>
      </w:r>
      <w:proofErr w:type="gramEnd"/>
      <w:r w:rsidRPr="00570484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4F5F8"/>
        </w:rPr>
        <w:t xml:space="preserve"> КТО МОЖЕТ УЧАСТВОВАТЬ</w:t>
      </w:r>
      <w:r w:rsidRPr="00570484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(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Подробнее на сайте Banki.ru https://www.banki.ru/news/daytheme/?id=10998355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)</w:t>
      </w:r>
    </w:p>
    <w:p w:rsidR="00570484" w:rsidRDefault="00570484" w:rsidP="00570484">
      <w:pPr>
        <w:spacing w:after="0" w:line="240" w:lineRule="auto"/>
        <w:rPr>
          <w:rFonts w:ascii="Times New Roman" w:hAnsi="Times New Roman" w:cs="Times New Roman"/>
          <w:color w:val="162136"/>
          <w:shd w:val="clear" w:color="auto" w:fill="F4F5F8"/>
        </w:rPr>
      </w:pPr>
    </w:p>
    <w:p w:rsidR="00570484" w:rsidRPr="0072574C" w:rsidRDefault="00570484" w:rsidP="007257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4F5F8"/>
        </w:rPr>
      </w:pPr>
      <w:r w:rsidRPr="0072574C">
        <w:rPr>
          <w:rFonts w:ascii="Times New Roman" w:hAnsi="Times New Roman" w:cs="Times New Roman"/>
          <w:b/>
          <w:color w:val="162136"/>
          <w:shd w:val="clear" w:color="auto" w:fill="F4F5F8"/>
          <w:lang w:val="en-US"/>
        </w:rPr>
        <w:t>C</w:t>
      </w:r>
      <w:r w:rsidRPr="0072574C">
        <w:rPr>
          <w:rFonts w:ascii="Times New Roman" w:hAnsi="Times New Roman" w:cs="Times New Roman"/>
          <w:b/>
          <w:color w:val="162136"/>
          <w:shd w:val="clear" w:color="auto" w:fill="F4F5F8"/>
        </w:rPr>
        <w:t xml:space="preserve"> </w:t>
      </w:r>
      <w:r w:rsidRPr="0072574C">
        <w:rPr>
          <w:rFonts w:ascii="Times New Roman" w:hAnsi="Times New Roman" w:cs="Times New Roman"/>
          <w:b/>
          <w:color w:val="162136"/>
          <w:shd w:val="clear" w:color="auto" w:fill="F4F5F8"/>
        </w:rPr>
        <w:t>1 января 2024 года в России начала действовать программа долгосрочных сбережений.</w:t>
      </w:r>
      <w:r w:rsidRPr="0072574C">
        <w:rPr>
          <w:rFonts w:ascii="Times New Roman" w:hAnsi="Times New Roman" w:cs="Times New Roman"/>
          <w:b/>
          <w:color w:val="162136"/>
        </w:rPr>
        <w:br/>
      </w:r>
      <w:r w:rsidRPr="0072574C">
        <w:rPr>
          <w:rFonts w:ascii="Times New Roman" w:hAnsi="Times New Roman" w:cs="Times New Roman"/>
          <w:b/>
          <w:color w:val="162136"/>
          <w:shd w:val="clear" w:color="auto" w:fill="F4F5F8"/>
        </w:rPr>
        <w:t>Разбираемся, что позволяет новая программа, в чем ее особенности и каким может быть доход от инвестиций в рамках нее.</w:t>
      </w:r>
      <w:r w:rsidRPr="0072574C">
        <w:rPr>
          <w:rFonts w:ascii="Times New Roman" w:hAnsi="Times New Roman" w:cs="Times New Roman"/>
          <w:b/>
          <w:color w:val="162136"/>
        </w:rPr>
        <w:br/>
      </w:r>
    </w:p>
    <w:p w:rsid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z w:val="24"/>
          <w:szCs w:val="24"/>
          <w:shd w:val="clear" w:color="auto" w:fill="F4F5F8"/>
        </w:rPr>
        <w:t>ЧТО ТАКОЕ ПРОГРАММА ДОЛГОСРОЧНЫХ СБЕРЕЖЕНИЙ ГРАЖДАН</w:t>
      </w:r>
      <w:r w:rsidRPr="00570484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Программа долгосрочных сбережений граждан (ПДС) — это добровольный накопительно-сберегательный продукт с участием государства. Инструмент предусматривает активное самостоятельное участие граждан в накоплении капитала как за счет личных средств, так и за счет средств пенсионных накоплений.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Закон о программе долгосрочных сбережений был принят летом 2023 года. Инициатором выступило правительство РФ, а основными авторами стали Минфин и Банк России.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Закон вступил в силу 1 января 2024 года, за исключением отдельных положений, для </w:t>
      </w:r>
      <w:bookmarkStart w:id="0" w:name="_GoBack"/>
      <w:bookmarkEnd w:id="0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которых установлены особые сроки.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КАК БУДЕТ УСТРОЕНА ПРОГРАММА ДОЛГОСРОЧНЫХ СБЕРЕЖЕНИЙ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Программа предполагает, что государство создает условия для формирования долгосрочных сбережений.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Суть программы: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Участник программы осуществляет в рамках ПДС добровольные взносы, а оператор программы (негосударственный пенсионный фонд, НПФ) инвестирует их, тем самым обеспечивая доходность вложений.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Гражданин может копить средства за счет добровольных взносов, а также перевести в программу ранее сформированные пенсионные накопления.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Государство обязано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софинансировать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накопления граждан в рамках ПДС за счет средств Фонда национального благосостояния (ФНБ) и резервов Социального фонда России (СФР, ранее это был ПФР).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Минимальный срок участия в программе составляет 15 лет.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Для тех, кто не хочет ждать долго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 Если вы хотите получать доходы быстрее и чаще, вы можете открыть вклад без посещения офиса банка на срок от трех месяцев со ставкой до 17% годовых.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 Здесь можно посмотреть актуальные предложения.</w:t>
      </w:r>
      <w:r w:rsidRPr="00570484">
        <w:rPr>
          <w:rFonts w:ascii="Times New Roman" w:hAnsi="Times New Roman" w:cs="Times New Roman"/>
          <w:color w:val="162136"/>
        </w:rPr>
        <w:br/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от государства получат граждане, заключившие в 2024–2026 годах договор долгосрочных сбережений с НПФ и оплатившие взносы на сумму не менее 2 000 рублей в год.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 закону дополнительная финансовая поддержка предусмотрена в течение трех лет. В дальнейшем этот срок может быть продлен по решению правительства.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Максимально возможный объем участия государства в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софинансировании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сбережений граждан составляет 36 000 рублей в год.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В рамках ПДС предусмотрены три формулы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в зависимости от дохода гражданина: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При среднемесячном доходе гражданина в размере не более 80 000 рублей за каждый вложенный в рамках ПДС рубль государство внесет на его счет еще 1 рубль. Таким образом, чтобы получить от государства 36 000 рублей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, необходимо в течение года внести средства на ту же сумму, или 3 000 рублей в месяц.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При доходе гражданина от 80 000 до 150 000 рублей в месяц объем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государства составит 50 копеек на 1 рубль. Для получения доплаты в 36 000 рублей в этом случае им понадобится вложить в рамках ПДС в течение года 72 000 рублей, или 6 000 рублей в месяц.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При доходе гражданина более 150 000 рублей в месяц объем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составит 25 копеек на 1 рубль. То есть для получения максимальной доплаты нужно вложить в течение года 144 000 рублей (12 000 рублей в месяц).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Государство также гарантирует участникам программы ряд иных стимулов: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страхование внесенных гражданами средств в общем объеме до 2,8 млн рублей (по сравнению с 1,4 млн рублей в системе страхования вкладов);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налоговый вычет в размере до 52 000 рублей ежегодно при уплате взносов на сумму до 400 000 рублей в год (13% от суммы взносов);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возможность забрать средства досрочно при наступлении «особых жизненных ситуаций».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  <w:color w:val="162136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lastRenderedPageBreak/>
        <w:t>ОБЯЗАТЕЛЬНА ЛИ НОВАЯ ПРОГРАММА ДЛЯ НАСЕЛЕНИЯ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Участие граждан в программе долгосрочных сбережений предполагается только на добровольной основе, то есть участвовать в ней необязательно.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Для участия в программе гражданин должен заключить договор долгосрочных сбережений с НПФ. Закон о ПДС также предусматривает возможность заключения договора долгосрочных сбережений юридическими или физическими лицами в пользу третьих лиц.</w:t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Предполагается, что формирование гражданами добровольных долгосрочных сбережений позволит им в будущем получать дополнительный доход или обеспечить финансовые ресурсы для других целей (например, оплаты дорогостоящих видов лечения).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 оценке Банка России, принять участие в программе могут порядка 30 млн человек. По оценке Сбербанка, до конца 2024 года в программу могут вступить до 1,5 млн человек.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 xml:space="preserve">КАК ПРИНЯТЬ </w:t>
      </w:r>
      <w:proofErr w:type="gramStart"/>
      <w:r w:rsidRPr="00570484">
        <w:rPr>
          <w:rFonts w:ascii="Times New Roman" w:hAnsi="Times New Roman" w:cs="Times New Roman"/>
          <w:color w:val="FF0000"/>
          <w:shd w:val="clear" w:color="auto" w:fill="F4F5F8"/>
        </w:rPr>
        <w:t>УЧАСТИЕ В</w:t>
      </w:r>
      <w:proofErr w:type="gramEnd"/>
      <w:r w:rsidRPr="00570484">
        <w:rPr>
          <w:rFonts w:ascii="Times New Roman" w:hAnsi="Times New Roman" w:cs="Times New Roman"/>
          <w:color w:val="FF0000"/>
          <w:shd w:val="clear" w:color="auto" w:fill="F4F5F8"/>
        </w:rPr>
        <w:t xml:space="preserve"> ПДС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Принять участие в программе долгосрочных сбережений может любой гражданин России возрастом от 18 лет. Предельный возраст для вступления в программу законом не установлен.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Копить средства в рамках ПДС можно и в пользу третьих лиц — например, детей. Накопленные в рамках программы денежные средства также будут наследоваться в полном объеме.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Для участия в ПДС гражданин должен выбрать одного или нескольких операторов — НПФ, которые будут управлять его средствами и инвестировать их. Реестр лицензий НПФ можно найти на сайте ЦБ. Сейчас в России работают 37 негосударственных пенсионных фондов.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После этого необходимо заключить специальный договор долгосрочных сбережений и совершать добровольные взносы.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 качестве добровольных взносов на счет в рамках ПДС можно перевести пенсионные накопления, сформированные у граждан, работавших в 2002–2014 годах. Тогда пенсионные отчисления работодателей в размере 6% от заработной платы работников перечислялись на формирование накопительной пенсии. В 2014 году был принят закон о «заморозке» пенсионных накоплений. Узнать наличие и размер пенсионных накоплений можно в одном из отделений СФР или на его официальном сайте.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Договор долгосрочных сбережений заключается на срок не менее 15 лет. Величину первого взноса, а также размер и периодичность последующих взносов участник программы может определить самостоятельно. Количество договоров долгосрочных сбережений для одного гражданина по закону не ограничено.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КУДА БУДУТ ИНВЕСТИРОВАТЬСЯ НАКОПЛЕНИЯ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Предполагается, что НПФ будут инвестировать средства граждан «на принципах доходности и безубыточности», то есть в консервативные финансовые инструменты.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 таким инструментам относятся: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-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облигации федерального займа (ОФЗ);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-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инфраструктурные облигации;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-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корпоративные облигации российских компаний;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-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другие ценные бумаги.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 законе не определен перечень инструментов, в которые НПФ могут инвестировать денежные средства, в том числе нет ограничений на вложения в иностранные инструменты. При этом все инвестиции в рамках ПДС будут осуществляться под контролем Банка России. По действующим правилам НПФ не могут вкладывать более 10% средств клиентов в высокорискованные инструменты.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Здесь вы можете изучить доходность ОФЗ, тут — почитать о том, как работают облигации.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Исходя из регуляторных ограничений и требований, НПФ преимущественно вкладываются в максимально надежные и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низкорисковые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инструменты, прежде всего в государственные облигации и облигации крупнейших надежных эмитентов (в основном госкомпаний), поясняет руководитель Аналитического центра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Банки.ру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Дмитрий Хмелев.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 данным ЦБ, по состоянию на III квартал 2023 года на облигации приходилось более 80% совокупного портфеля пенсионных накоплений НПФ, на акции — всего 6%. В пенсионных резервах (средства программ негосударственного пенсионного обеспечения) доля акций традиционно выше — 11%, но основные инструменты те же — корпоративные и государственные облигации.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 рамках ПДС граждане имеют возможность сменить НПФ, в котором осуществляется формирование его долгосрочных сбережений. НПФ должен обеспечить сохранение сформированных сбережений в результате инвестирования средств участника программы. Менять оператора при этом можно только один раз в пять лет.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КАКИМ МОЖЕТ БЫТЬ ДОХОД ОТ ИНВЕСТИЦИЙ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Первостепенная задача НПФ — уберечь деньги от инфляции и сохранить их покупательную способность, отмечает Хмелев.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По данным ЦБ, за девять месяцев 2023 года средневзвешенная доходность пенсионных накоплений, находящихся в управлении в НПФ, до вычета вознаграждения фонда составила 8,1% в годовом выражении. По оценке Росстата, инфляция в России в январе — сентябре составила 4,6%. Таким образом, реальная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lastRenderedPageBreak/>
        <w:t>средневзвешенная доходность составила 3,5%.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 2022 году средневзвешенная доходность составила 5,1% при инфляции в 11,94%, то есть реальная средневзвешенная доходность была отрицательной (–6,84%).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Узнать и сравнить доходность различных НПФ можно на сайте ЦБ.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При этом важно понимать, что пенсионные средства — это «длинные деньги», поэтому оценивать результаты инвестиций целесообразно за продолжительный период времени, от 5 лет и более.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«С основной своей целью — сохранить покупательную способность средств и уберечь их от инфляции — НПФ чаще всего справляются. Но говорить о какой-то высокой доходности, значительно превышающей инфляцию, к сожалению, пока не приходится», — отмечает Хмелев.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В случае ПДС доходность может быть выше, чем в случае простого управления НПФ, за счет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инвестиций государством. Вложенные гражданами средства на сумму 2,8 млн рублей при этом застрахованы в Агентстве по страхованию вкладов (АСВ), что снижает риски получения убытка.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Оценить примерный размер выплат по ПДС можно с помощью специального калькулятора.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МОЖНО ЛИ ДОСРОЧНО ЗАБРАТЬ ДЕНЬГИ ИЗ ПДС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При этом для граждан предусмотрена возможность забрать средства досрочно без потери накопленного дохода при наступлении «особых жизненных ситуаций». К таким ситуациям отнесены оплата дорогостоящего лечения участника программы (перечень видов лечения утверждается правительством) и потеря кормильца.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В иных случаях досрочно получить пенсионные накопления и сумму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от государства нельзя. Дополнительные взносы можно забрать в любой момент, но при досрочной выплате полученная сумма может оказаться меньше внесенной – это зависит от условий договора с НПФ.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В ЧЕМ ОТЛИЧИЕ ПДС ОТ ИНДИВИДУАЛЬНЫХ ИНВЕСТИЦИОННЫХ СЧЕТОВ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ПДС и индивидуальный инвестиционный счет (ИИС) — совершенно разные инструменты для инвестирования.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Ключевое отличие ПДС от ИИС состоит в том, что инвестор, имеющий ИИС, может самостоятельно распоряжаться своим капиталом на счете, определяя, во что вложить ту или иную часть денежных средств. В ПДС все решения принимает оператор программы, то есть НПФ.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ИИС не предполагает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вложений государством и страхования накоплений. Кроме того, ПДС ориентирована на долгосрочные инвестиции, а ИИС в первую очередь на среднесрочные.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Фактически единственное сходство ПДС и ИИС — возможность получения налогового вычета на сумму до 52 000 рублей в год (при зачислении на счет 400 000 рублей).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Default="00570484" w:rsidP="00570484">
      <w:pPr>
        <w:spacing w:after="0" w:line="240" w:lineRule="auto"/>
        <w:rPr>
          <w:rFonts w:ascii="Times New Roman" w:hAnsi="Times New Roman" w:cs="Times New Roman"/>
          <w:color w:val="162136"/>
          <w:shd w:val="clear" w:color="auto" w:fill="F4F5F8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ПРЕИМУЩЕСТВА И НЕДОСТАТКИ ПДС ДЛЯ ГРАЖДАН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Программа долгосрочных сбережений имеет свои плюсы и минусы: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 основным плюсам ПДС можно отнести следующие особенности.</w:t>
      </w:r>
      <w:r w:rsidRPr="00570484">
        <w:rPr>
          <w:rFonts w:ascii="Times New Roman" w:hAnsi="Times New Roman" w:cs="Times New Roman"/>
          <w:color w:val="162136"/>
        </w:rPr>
        <w:br/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Cофинансирование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вложений со стороны государства (сумма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зависит от дохода участника ПДС).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Возможность перевести на счет в рамках ПДС пенсионные накопления, сформированные в 2002–2014 годах.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Налоговый вычет в размере до 52 000 рублей в год.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Страхование государством внесенных средств в объеме 2,8 млн рублей.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К основным минусам ПДС можно отнести следующие особенности.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Невысокая доходность НПФ. На длительных горизонтах НПФ показывают доходность на уровне инфляции, отмечает Хмелев. То есть сохранить покупательную способность накоплений они позволяют, но в большинстве случаев не более того.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Длительный срок договора (от 15 лет).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Отсутствие возможности самостоятельно определять состав инвестиционного портфеля.</w:t>
      </w:r>
      <w:r w:rsidRPr="00570484">
        <w:rPr>
          <w:rFonts w:ascii="Times New Roman" w:hAnsi="Times New Roman" w:cs="Times New Roman"/>
          <w:color w:val="162136"/>
        </w:rPr>
        <w:br/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от государства в настоящее время предусмотрено только в течение трех лет.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Хмелев также в числе недостатков ПДС для привлечения средств граждан называет общее недоверие населения к пенсионной системе. Чтобы изменить этот тренд, необходимо время, считает он.</w:t>
      </w:r>
      <w:r w:rsidRPr="00570484">
        <w:rPr>
          <w:rFonts w:ascii="Times New Roman" w:hAnsi="Times New Roman" w:cs="Times New Roman"/>
          <w:color w:val="162136"/>
        </w:rPr>
        <w:br/>
      </w:r>
    </w:p>
    <w:p w:rsidR="00570484" w:rsidRPr="00570484" w:rsidRDefault="00570484" w:rsidP="00570484">
      <w:pPr>
        <w:spacing w:after="0" w:line="240" w:lineRule="auto"/>
        <w:rPr>
          <w:rFonts w:ascii="Times New Roman" w:hAnsi="Times New Roman" w:cs="Times New Roman"/>
        </w:rPr>
      </w:pPr>
      <w:r w:rsidRPr="00570484">
        <w:rPr>
          <w:rFonts w:ascii="Times New Roman" w:hAnsi="Times New Roman" w:cs="Times New Roman"/>
          <w:color w:val="FF0000"/>
          <w:shd w:val="clear" w:color="auto" w:fill="F4F5F8"/>
        </w:rPr>
        <w:t>ПРОГРАММА ДОЛГОСРОЧНЫХ СБЕРЕЖЕНИЙ: ГЛАВНОЕ</w:t>
      </w:r>
      <w:r w:rsidRPr="00570484">
        <w:rPr>
          <w:rFonts w:ascii="Times New Roman" w:hAnsi="Times New Roman" w:cs="Times New Roman"/>
          <w:color w:val="FF0000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Программа долгосрочных сбережений граждан (ПДС) — это добровольный накопительно-сберегательный продукт для граждан с участием государства. Инструмент предусматривает активное самостоятельное участие граждан в накоплении капитала как за счет личных средств граждан, так и за счет средств пенсионных накоплений.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Государство обязано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софинансировать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накопления граждан в рамках ПДС.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получат </w:t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lastRenderedPageBreak/>
        <w:t>граждане, заключившие в 2024–2026 годах договор долгосрочных сбережений с НПФ и оплатившие взносы на сумму не менее 2 000 рублей в год. Дополнительная финансовая поддержка предусмотрена в течение трех лет (в дальнейшем этот срок может быть продлен).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Максимально возможный объем участия государства в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софинансировании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сбережений составляет 36 000 рублей в год. В рамках ПДС предусмотрены три формулы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софинансирования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в зависимости от дохода гражданина.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Государство также гарантирует участникам программы страхование внесенных средств в объеме до 2,8 млн рублей, налоговый вычет в размере до 52 000 рублей в год при уплате взносов на сумму до 400 000 рублей в год и возможность забрать средства досрочно при наступлении «особых жизненных ситуаций» (оплата дорогостоящего лечения и потеря кормильца).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Участие граждан в программе долгосрочных сбережений предполагается только на добровольной основе. Принять участие в программе долгосрочных сбережений может любой гражданин России возрастом от 18 лет. Копить средства в рамках ПДС можно и в пользу третьих лиц — например, детей. Накопленные в рамках программы денежные средства будут наследоваться в полном объеме.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Для участия в ПДС гражданин должен выбрать одного или нескольких операторов — НПФ, которые будут управлять его средствами и инвестировать их. После этого необходимо заключить специальный договор долгосрочных сбережений и осуществлять добровольные взносы. Величину и периодичность взносов участник программы может определить самостоятельно. При этом предусмотрена возможность смены НПФ, но не чаще чем раз в пять лет.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Предполагается, что НПФ будут инвестировать средства граждан «на принципах доходности и безубыточности», то есть в консервативные финансовые инструменты. Как правило, НПФ вкладывают средства в государственные облигации и облигации крупнейших эмитентов, в основном госкомпаний.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 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К основным плюсам ПДС можно отнести </w:t>
      </w:r>
      <w:proofErr w:type="spellStart"/>
      <w:r w:rsidRPr="00570484">
        <w:rPr>
          <w:rFonts w:ascii="Times New Roman" w:hAnsi="Times New Roman" w:cs="Times New Roman"/>
          <w:color w:val="162136"/>
          <w:shd w:val="clear" w:color="auto" w:fill="F4F5F8"/>
        </w:rPr>
        <w:t>софинансирование</w:t>
      </w:r>
      <w:proofErr w:type="spellEnd"/>
      <w:r w:rsidRPr="00570484">
        <w:rPr>
          <w:rFonts w:ascii="Times New Roman" w:hAnsi="Times New Roman" w:cs="Times New Roman"/>
          <w:color w:val="162136"/>
          <w:shd w:val="clear" w:color="auto" w:fill="F4F5F8"/>
        </w:rPr>
        <w:t xml:space="preserve"> вложений государством, возможность инвестирования «замороженных» пенсионных накоплений, страхование внесенных средств и налоговый вычет.</w:t>
      </w:r>
      <w:r w:rsidRPr="00570484">
        <w:rPr>
          <w:rFonts w:ascii="Times New Roman" w:hAnsi="Times New Roman" w:cs="Times New Roman"/>
          <w:color w:val="162136"/>
        </w:rPr>
        <w:br/>
      </w:r>
      <w:r w:rsidRPr="00570484">
        <w:rPr>
          <w:rFonts w:ascii="Times New Roman" w:hAnsi="Times New Roman" w:cs="Times New Roman"/>
          <w:color w:val="162136"/>
          <w:shd w:val="clear" w:color="auto" w:fill="F4F5F8"/>
        </w:rPr>
        <w:t>Основной минус программы — невысокая доходность.</w:t>
      </w:r>
      <w:r w:rsidRPr="00570484">
        <w:rPr>
          <w:rFonts w:ascii="Times New Roman" w:hAnsi="Times New Roman" w:cs="Times New Roman"/>
          <w:color w:val="162136"/>
        </w:rPr>
        <w:br/>
      </w:r>
    </w:p>
    <w:sectPr w:rsidR="00570484" w:rsidRPr="00570484" w:rsidSect="0072574C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84"/>
    <w:rsid w:val="00456C26"/>
    <w:rsid w:val="00570484"/>
    <w:rsid w:val="007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EA49"/>
  <w15:chartTrackingRefBased/>
  <w15:docId w15:val="{4D16C83F-3583-4B01-85CC-221279A1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5537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2024-09-30T05:11:00Z</dcterms:created>
  <dcterms:modified xsi:type="dcterms:W3CDTF">2024-09-30T05:23:00Z</dcterms:modified>
</cp:coreProperties>
</file>